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868678" w14:textId="1644B76B" w:rsidR="00CB6186" w:rsidRDefault="00CB6186" w:rsidP="00CB6186">
      <w:pPr>
        <w:pStyle w:val="3GPPHeader"/>
        <w:spacing w:after="0"/>
        <w:rPr>
          <w:rFonts w:asciiTheme="minorHAnsi" w:hAnsiTheme="minorHAnsi"/>
          <w:highlight w:val="yellow"/>
          <w:lang w:val="en-US" w:eastAsia="en-US"/>
        </w:rPr>
      </w:pPr>
      <w:bookmarkStart w:id="0" w:name="_GoBack"/>
      <w:r>
        <w:rPr>
          <w:noProof/>
          <w:lang w:val="en-US"/>
        </w:rPr>
        <w:t>3GPP</w:t>
      </w:r>
      <w:r>
        <w:rPr>
          <w:lang w:val="en-US"/>
        </w:rPr>
        <w:t xml:space="preserve"> TSG RAN WG1 Meeting AH 1801</w:t>
      </w:r>
      <w:r>
        <w:rPr>
          <w:lang w:val="en-US"/>
        </w:rPr>
        <w:tab/>
        <w:t>R1-18</w:t>
      </w:r>
      <w:r w:rsidR="008053F9">
        <w:rPr>
          <w:lang w:val="en-US"/>
        </w:rPr>
        <w:t>00976</w:t>
      </w:r>
    </w:p>
    <w:bookmarkEnd w:id="0"/>
    <w:p w14:paraId="46E18C33" w14:textId="77777777" w:rsidR="00CB6186" w:rsidRDefault="00CB6186" w:rsidP="00CB6186">
      <w:pPr>
        <w:pStyle w:val="3GPPHeader"/>
        <w:spacing w:after="0"/>
        <w:rPr>
          <w:sz w:val="22"/>
          <w:lang w:val="en-US"/>
        </w:rPr>
      </w:pPr>
      <w:r>
        <w:rPr>
          <w:sz w:val="22"/>
          <w:lang w:val="en-US"/>
        </w:rPr>
        <w:t>Vancouver, Canada, 22nd Jan- 26th Jan 2018</w:t>
      </w:r>
    </w:p>
    <w:p w14:paraId="5FCD4219" w14:textId="77777777" w:rsidR="00E90E49" w:rsidRPr="00CB6186" w:rsidRDefault="00E90E49" w:rsidP="00357380">
      <w:pPr>
        <w:pStyle w:val="3GPPHeader"/>
        <w:rPr>
          <w:lang w:val="en-US"/>
        </w:rPr>
      </w:pPr>
    </w:p>
    <w:p w14:paraId="606D9DC9" w14:textId="472C1D72" w:rsidR="00E90E49" w:rsidRPr="00416832" w:rsidRDefault="00E90E49" w:rsidP="00311702">
      <w:pPr>
        <w:pStyle w:val="3GPPHeader"/>
        <w:rPr>
          <w:sz w:val="22"/>
          <w:szCs w:val="22"/>
          <w:lang w:val="en-US"/>
        </w:rPr>
      </w:pPr>
      <w:r w:rsidRPr="00416832">
        <w:rPr>
          <w:sz w:val="22"/>
          <w:szCs w:val="22"/>
          <w:lang w:val="en-US"/>
        </w:rPr>
        <w:t>Agenda Item:</w:t>
      </w:r>
      <w:r w:rsidRPr="00416832">
        <w:rPr>
          <w:sz w:val="22"/>
          <w:szCs w:val="22"/>
          <w:lang w:val="en-US"/>
        </w:rPr>
        <w:tab/>
      </w:r>
      <w:r w:rsidR="008053F9">
        <w:rPr>
          <w:sz w:val="22"/>
          <w:szCs w:val="22"/>
          <w:lang w:val="en-US"/>
        </w:rPr>
        <w:t>7.9</w:t>
      </w:r>
    </w:p>
    <w:p w14:paraId="684B06A7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14B1E52" w14:textId="1A70BBA4" w:rsidR="00E90E49" w:rsidRPr="00CE0424" w:rsidRDefault="003D3C45" w:rsidP="00547F4D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6B5B0F">
        <w:rPr>
          <w:sz w:val="22"/>
          <w:szCs w:val="22"/>
        </w:rPr>
        <w:tab/>
      </w:r>
      <w:r w:rsidR="00B34C69">
        <w:rPr>
          <w:sz w:val="22"/>
          <w:szCs w:val="22"/>
        </w:rPr>
        <w:t xml:space="preserve">On </w:t>
      </w:r>
      <w:r w:rsidR="00B11E28">
        <w:rPr>
          <w:sz w:val="22"/>
          <w:szCs w:val="22"/>
        </w:rPr>
        <w:t>soft-buffer handling for DL pre-emption</w:t>
      </w:r>
    </w:p>
    <w:p w14:paraId="248031E0" w14:textId="7950392B" w:rsidR="00E90E49" w:rsidRDefault="00E90E49" w:rsidP="0011628C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EC548E">
        <w:rPr>
          <w:sz w:val="22"/>
          <w:szCs w:val="22"/>
        </w:rPr>
        <w:t>Information</w:t>
      </w:r>
    </w:p>
    <w:p w14:paraId="65062EEC" w14:textId="4F9D2DCF" w:rsidR="00E90E49" w:rsidRDefault="00E90E49" w:rsidP="00CE0424">
      <w:pPr>
        <w:pStyle w:val="Heading1"/>
      </w:pPr>
      <w:r w:rsidRPr="00CE0424">
        <w:t>Introduction</w:t>
      </w:r>
    </w:p>
    <w:p w14:paraId="5BF3441A" w14:textId="0F6EDE08" w:rsidR="00B11E28" w:rsidRPr="00B11E28" w:rsidRDefault="00B11E28" w:rsidP="00B11E28">
      <w:pPr>
        <w:rPr>
          <w:rFonts w:ascii="Times New Roman" w:hAnsi="Times New Roman"/>
          <w:lang w:val="en-US"/>
        </w:rPr>
      </w:pPr>
      <w:r>
        <w:rPr>
          <w:rFonts w:eastAsia="MS Mincho"/>
          <w:lang w:eastAsia="ja-JP"/>
        </w:rPr>
        <w:t xml:space="preserve">At </w:t>
      </w:r>
      <w:r>
        <w:t>RAN1#90 meeting, the following agreements related to DL pre-emption indication were approved [1]:</w:t>
      </w:r>
    </w:p>
    <w:p w14:paraId="3C699337" w14:textId="77777777" w:rsidR="00732437" w:rsidRDefault="00732437" w:rsidP="00732437">
      <w:pPr>
        <w:rPr>
          <w:rFonts w:ascii="Times" w:eastAsia="MS Mincho" w:hAnsi="Times"/>
          <w:lang w:val="en-US" w:eastAsia="ja-JP"/>
        </w:rPr>
      </w:pPr>
      <w:r>
        <w:rPr>
          <w:rFonts w:eastAsia="MS Mincho"/>
          <w:highlight w:val="green"/>
          <w:lang w:val="en-US" w:eastAsia="ja-JP"/>
        </w:rPr>
        <w:t>Agreements:</w:t>
      </w:r>
    </w:p>
    <w:p w14:paraId="394167D1" w14:textId="77777777" w:rsidR="00732437" w:rsidRDefault="00732437" w:rsidP="00732437">
      <w:pPr>
        <w:numPr>
          <w:ilvl w:val="0"/>
          <w:numId w:val="24"/>
        </w:numPr>
        <w:tabs>
          <w:tab w:val="left" w:pos="426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For the purpose of further discussion, we conclude following:</w:t>
      </w:r>
    </w:p>
    <w:p w14:paraId="1D3897AB" w14:textId="77777777" w:rsidR="00732437" w:rsidRDefault="00732437" w:rsidP="00732437">
      <w:pPr>
        <w:numPr>
          <w:ilvl w:val="1"/>
          <w:numId w:val="24"/>
        </w:numPr>
        <w:tabs>
          <w:tab w:val="left" w:pos="426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For the following discussion on CBG-based retransmission, define the terms CBGTI and CBGFI as below. </w:t>
      </w:r>
    </w:p>
    <w:p w14:paraId="1F1F2D53" w14:textId="77777777" w:rsidR="00732437" w:rsidRDefault="00732437" w:rsidP="00732437">
      <w:pPr>
        <w:numPr>
          <w:ilvl w:val="2"/>
          <w:numId w:val="24"/>
        </w:numPr>
        <w:tabs>
          <w:tab w:val="left" w:pos="426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CBGTI (CBG transmission information) means information on which CBG(s) is/are (re)transmitted and, </w:t>
      </w:r>
    </w:p>
    <w:p w14:paraId="0A1A9775" w14:textId="77777777" w:rsidR="00732437" w:rsidRDefault="00732437" w:rsidP="00732437">
      <w:pPr>
        <w:numPr>
          <w:ilvl w:val="2"/>
          <w:numId w:val="24"/>
        </w:numPr>
        <w:tabs>
          <w:tab w:val="left" w:pos="426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CBGFI (CBG flushing out information) means information on which CBG(s) is/are handled differently for soft-buffer/HARQ combining</w:t>
      </w:r>
    </w:p>
    <w:p w14:paraId="39310FDD" w14:textId="77777777" w:rsidR="00732437" w:rsidRDefault="00732437" w:rsidP="00732437">
      <w:pPr>
        <w:numPr>
          <w:ilvl w:val="0"/>
          <w:numId w:val="24"/>
        </w:numPr>
        <w:tabs>
          <w:tab w:val="left" w:pos="426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At least following is supported for DL CBG-based (re)transmission.</w:t>
      </w:r>
    </w:p>
    <w:p w14:paraId="2A3A5925" w14:textId="77777777" w:rsidR="00732437" w:rsidRDefault="00732437" w:rsidP="00732437">
      <w:pPr>
        <w:numPr>
          <w:ilvl w:val="1"/>
          <w:numId w:val="24"/>
        </w:numPr>
        <w:tabs>
          <w:tab w:val="left" w:pos="426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A DCI includes both CBGTI and CBGFI.</w:t>
      </w:r>
    </w:p>
    <w:p w14:paraId="1B7A9B56" w14:textId="77777777" w:rsidR="00732437" w:rsidRDefault="00732437" w:rsidP="00732437">
      <w:pPr>
        <w:numPr>
          <w:ilvl w:val="2"/>
          <w:numId w:val="24"/>
        </w:numPr>
        <w:tabs>
          <w:tab w:val="left" w:pos="426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For single CW case, when N is the maximum number of CBGs configured by RRC</w:t>
      </w:r>
    </w:p>
    <w:p w14:paraId="49A6033D" w14:textId="77777777" w:rsidR="00732437" w:rsidRDefault="00732437" w:rsidP="00732437">
      <w:pPr>
        <w:numPr>
          <w:ilvl w:val="3"/>
          <w:numId w:val="24"/>
        </w:numPr>
        <w:tabs>
          <w:tab w:val="left" w:pos="426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N bits for CBGTI, and the other 1 bit for CBGFI</w:t>
      </w:r>
    </w:p>
    <w:p w14:paraId="00D72291" w14:textId="77777777" w:rsidR="00732437" w:rsidRDefault="00732437" w:rsidP="00732437">
      <w:pPr>
        <w:numPr>
          <w:ilvl w:val="4"/>
          <w:numId w:val="24"/>
        </w:numPr>
        <w:tabs>
          <w:tab w:val="left" w:pos="426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FFS: whether re-interpret NDI as CBGFI</w:t>
      </w:r>
    </w:p>
    <w:p w14:paraId="5855BB43" w14:textId="77777777" w:rsidR="00732437" w:rsidRDefault="00732437" w:rsidP="00732437">
      <w:pPr>
        <w:numPr>
          <w:ilvl w:val="4"/>
          <w:numId w:val="24"/>
        </w:numPr>
        <w:tabs>
          <w:tab w:val="left" w:pos="426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FFS: whether CBGTI is re-interpreted as NDI </w:t>
      </w:r>
    </w:p>
    <w:p w14:paraId="6BFDE815" w14:textId="77777777" w:rsidR="00732437" w:rsidRDefault="00732437" w:rsidP="00732437">
      <w:pPr>
        <w:numPr>
          <w:ilvl w:val="4"/>
          <w:numId w:val="24"/>
        </w:numPr>
        <w:tabs>
          <w:tab w:val="left" w:pos="426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FFS: whether jointly using other field as CBGTI or CBGFI</w:t>
      </w:r>
    </w:p>
    <w:p w14:paraId="06BD64C5" w14:textId="77777777" w:rsidR="00732437" w:rsidRDefault="00732437" w:rsidP="00732437">
      <w:pPr>
        <w:numPr>
          <w:ilvl w:val="2"/>
          <w:numId w:val="24"/>
        </w:numPr>
        <w:tabs>
          <w:tab w:val="left" w:pos="426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FFS on multiple CW case.</w:t>
      </w:r>
    </w:p>
    <w:p w14:paraId="2ACF85DA" w14:textId="77777777" w:rsidR="00732437" w:rsidRDefault="00732437" w:rsidP="00732437">
      <w:pPr>
        <w:numPr>
          <w:ilvl w:val="0"/>
          <w:numId w:val="24"/>
        </w:numPr>
        <w:tabs>
          <w:tab w:val="left" w:pos="426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Cs w:val="24"/>
          <w:lang w:val="en-US" w:eastAsia="ja-JP"/>
        </w:rPr>
      </w:pPr>
      <w:r>
        <w:rPr>
          <w:rFonts w:eastAsia="MS Mincho"/>
          <w:lang w:val="en-US" w:eastAsia="ja-JP"/>
        </w:rPr>
        <w:t>At least following is supported for DL and UL CBG-based (re)transmission.</w:t>
      </w:r>
    </w:p>
    <w:p w14:paraId="764EBD15" w14:textId="77777777" w:rsidR="00732437" w:rsidRDefault="00732437" w:rsidP="00732437">
      <w:pPr>
        <w:numPr>
          <w:ilvl w:val="0"/>
          <w:numId w:val="24"/>
        </w:numPr>
        <w:tabs>
          <w:tab w:val="left" w:pos="426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A DCI includes CBGTI.</w:t>
      </w:r>
    </w:p>
    <w:p w14:paraId="45B8B402" w14:textId="77777777" w:rsidR="00732437" w:rsidRDefault="00732437" w:rsidP="00732437">
      <w:pPr>
        <w:numPr>
          <w:ilvl w:val="1"/>
          <w:numId w:val="24"/>
        </w:numPr>
        <w:tabs>
          <w:tab w:val="left" w:pos="426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For single CW case, N bits for CBGTI as configured by RRC</w:t>
      </w:r>
    </w:p>
    <w:p w14:paraId="59DE816C" w14:textId="77777777" w:rsidR="00732437" w:rsidRDefault="00732437" w:rsidP="00732437">
      <w:pPr>
        <w:numPr>
          <w:ilvl w:val="3"/>
          <w:numId w:val="24"/>
        </w:numPr>
        <w:tabs>
          <w:tab w:val="left" w:pos="426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FFS: whether CBGTI is re-interpreted as NDI </w:t>
      </w:r>
    </w:p>
    <w:p w14:paraId="4817FE20" w14:textId="77777777" w:rsidR="00732437" w:rsidRDefault="00732437" w:rsidP="00732437">
      <w:pPr>
        <w:numPr>
          <w:ilvl w:val="3"/>
          <w:numId w:val="24"/>
        </w:numPr>
        <w:tabs>
          <w:tab w:val="left" w:pos="426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FFS: whether NDI is re-interpreted as CBGTI</w:t>
      </w:r>
    </w:p>
    <w:p w14:paraId="5B7CEF0F" w14:textId="77777777" w:rsidR="00732437" w:rsidRDefault="00732437" w:rsidP="00732437">
      <w:pPr>
        <w:numPr>
          <w:ilvl w:val="3"/>
          <w:numId w:val="24"/>
        </w:numPr>
        <w:tabs>
          <w:tab w:val="left" w:pos="426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FFS: whether jointly using other field as CBGTI</w:t>
      </w:r>
    </w:p>
    <w:p w14:paraId="62EBFFB1" w14:textId="77777777" w:rsidR="00732437" w:rsidRDefault="00732437" w:rsidP="00732437">
      <w:pPr>
        <w:numPr>
          <w:ilvl w:val="1"/>
          <w:numId w:val="24"/>
        </w:numPr>
        <w:tabs>
          <w:tab w:val="left" w:pos="426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FFS on multiple CW case</w:t>
      </w:r>
    </w:p>
    <w:p w14:paraId="3BFD0361" w14:textId="77777777" w:rsidR="00B11E28" w:rsidRDefault="00B11E28" w:rsidP="00B11E28">
      <w:pPr>
        <w:rPr>
          <w:rFonts w:ascii="Times" w:eastAsia="MS Mincho" w:hAnsi="Times"/>
          <w:iCs/>
          <w:highlight w:val="yellow"/>
          <w:lang w:eastAsia="ja-JP"/>
        </w:rPr>
      </w:pPr>
      <w:r>
        <w:rPr>
          <w:rFonts w:eastAsia="MS Mincho"/>
          <w:iCs/>
          <w:highlight w:val="green"/>
          <w:lang w:eastAsia="ja-JP"/>
        </w:rPr>
        <w:t>Agreements:</w:t>
      </w:r>
    </w:p>
    <w:p w14:paraId="74776D09" w14:textId="77777777" w:rsidR="00B11E28" w:rsidRDefault="00B11E28" w:rsidP="00B11E28">
      <w:pPr>
        <w:numPr>
          <w:ilvl w:val="0"/>
          <w:numId w:val="25"/>
        </w:numPr>
        <w:tabs>
          <w:tab w:val="left" w:pos="426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Preempted resource(s) within a certain time/frequency region (i.e. reference downlink resource) within the periodicity to monitor group common DCI for pre-emption indication, is indicated by the group common DCI carrying the preemption indication</w:t>
      </w:r>
    </w:p>
    <w:p w14:paraId="249EF971" w14:textId="77777777" w:rsidR="00B11E28" w:rsidRDefault="00B11E28" w:rsidP="00B11E28">
      <w:pPr>
        <w:numPr>
          <w:ilvl w:val="1"/>
          <w:numId w:val="25"/>
        </w:numPr>
        <w:tabs>
          <w:tab w:val="left" w:pos="426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The frequency region of the reference downlink resource is configured semi-statically</w:t>
      </w:r>
    </w:p>
    <w:p w14:paraId="01D4319B" w14:textId="77777777" w:rsidR="00B11E28" w:rsidRDefault="00B11E28" w:rsidP="00B11E28">
      <w:pPr>
        <w:numPr>
          <w:ilvl w:val="2"/>
          <w:numId w:val="25"/>
        </w:numPr>
        <w:tabs>
          <w:tab w:val="left" w:pos="426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FFS: explicit signaling or implicitly derived by other RRC signalling</w:t>
      </w:r>
    </w:p>
    <w:p w14:paraId="447FBAB6" w14:textId="77777777" w:rsidR="00B11E28" w:rsidRDefault="00B11E28" w:rsidP="00B11E28">
      <w:pPr>
        <w:numPr>
          <w:ilvl w:val="1"/>
          <w:numId w:val="25"/>
        </w:numPr>
        <w:tabs>
          <w:tab w:val="left" w:pos="426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 xml:space="preserve">The time region of the reference downlink resource is configured semi-statically </w:t>
      </w:r>
    </w:p>
    <w:p w14:paraId="732AA2D2" w14:textId="77777777" w:rsidR="00B11E28" w:rsidRDefault="00B11E28" w:rsidP="00B11E28">
      <w:pPr>
        <w:numPr>
          <w:ilvl w:val="2"/>
          <w:numId w:val="25"/>
        </w:numPr>
        <w:tabs>
          <w:tab w:val="left" w:pos="426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FFS: explicit signaling or implicitly derived by other RRC signalling</w:t>
      </w:r>
    </w:p>
    <w:p w14:paraId="45B546CD" w14:textId="77777777" w:rsidR="00B11E28" w:rsidRDefault="00B11E28" w:rsidP="00B11E28">
      <w:pPr>
        <w:numPr>
          <w:ilvl w:val="0"/>
          <w:numId w:val="25"/>
        </w:numPr>
        <w:tabs>
          <w:tab w:val="left" w:pos="426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The frequency granularity of pre-emption indication is configured to be y RBs within the reference downlink resource for the given numerology</w:t>
      </w:r>
    </w:p>
    <w:p w14:paraId="566A11B2" w14:textId="77777777" w:rsidR="00B11E28" w:rsidRDefault="00B11E28" w:rsidP="00B11E28">
      <w:pPr>
        <w:numPr>
          <w:ilvl w:val="2"/>
          <w:numId w:val="25"/>
        </w:numPr>
        <w:tabs>
          <w:tab w:val="left" w:pos="426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FFS: explicit signaling or implicitly derived by other RRC signalling</w:t>
      </w:r>
    </w:p>
    <w:p w14:paraId="3E35B0BB" w14:textId="77777777" w:rsidR="00B11E28" w:rsidRDefault="00B11E28" w:rsidP="00B11E28">
      <w:pPr>
        <w:numPr>
          <w:ilvl w:val="2"/>
          <w:numId w:val="25"/>
        </w:numPr>
        <w:tabs>
          <w:tab w:val="left" w:pos="426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Note: The y RBs can correspond to the whole frequency region of the downlink reference resource.</w:t>
      </w:r>
    </w:p>
    <w:p w14:paraId="2CC9D252" w14:textId="77777777" w:rsidR="00B11E28" w:rsidRDefault="00B11E28" w:rsidP="00B11E28">
      <w:pPr>
        <w:numPr>
          <w:ilvl w:val="0"/>
          <w:numId w:val="25"/>
        </w:numPr>
        <w:tabs>
          <w:tab w:val="left" w:pos="426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The time granularity of pre-emption indication is configured to be x symbols within the reference downlink resource for the given numerology</w:t>
      </w:r>
    </w:p>
    <w:p w14:paraId="55966C34" w14:textId="77777777" w:rsidR="00B11E28" w:rsidRDefault="00B11E28" w:rsidP="00B11E28">
      <w:pPr>
        <w:numPr>
          <w:ilvl w:val="2"/>
          <w:numId w:val="25"/>
        </w:numPr>
        <w:tabs>
          <w:tab w:val="left" w:pos="426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FFS: explicit signaling or implicitly derived by other RRC signalling</w:t>
      </w:r>
    </w:p>
    <w:p w14:paraId="06C1ED9F" w14:textId="77777777" w:rsidR="00B11E28" w:rsidRDefault="00B11E28" w:rsidP="00B11E28">
      <w:pPr>
        <w:numPr>
          <w:ilvl w:val="0"/>
          <w:numId w:val="25"/>
        </w:numPr>
        <w:tabs>
          <w:tab w:val="left" w:pos="426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Note: Time/frequency granularities of pre-emption indication should take into account the payload size of the group common DCI carrying the pre-emption indication</w:t>
      </w:r>
    </w:p>
    <w:p w14:paraId="6F0E8F5F" w14:textId="051B53D4" w:rsidR="00732437" w:rsidRDefault="00732437" w:rsidP="00732437">
      <w:pPr>
        <w:rPr>
          <w:lang w:val="en-US"/>
        </w:rPr>
      </w:pPr>
    </w:p>
    <w:p w14:paraId="046BAE7B" w14:textId="5BBC1FEE" w:rsidR="00B11E28" w:rsidRPr="00B11E28" w:rsidRDefault="00BF6566" w:rsidP="00732437">
      <w:pPr>
        <w:rPr>
          <w:lang w:val="en-US"/>
        </w:rPr>
      </w:pPr>
      <w:r>
        <w:rPr>
          <w:lang w:val="en-US"/>
        </w:rPr>
        <w:t xml:space="preserve">This paper considers soft-buffer handling and “flush” indication for DL pre-emption.  </w:t>
      </w:r>
    </w:p>
    <w:p w14:paraId="7B88E7A8" w14:textId="4F178138" w:rsidR="00B11E28" w:rsidRDefault="00B72ED2" w:rsidP="00CE0424">
      <w:pPr>
        <w:pStyle w:val="Heading1"/>
      </w:pPr>
      <w:r>
        <w:t>Observations on</w:t>
      </w:r>
      <w:r w:rsidR="00B11E28">
        <w:t xml:space="preserve"> pre-emption</w:t>
      </w:r>
    </w:p>
    <w:p w14:paraId="0F0C3DB7" w14:textId="490C9ADD" w:rsidR="00857947" w:rsidRDefault="00B11E28" w:rsidP="008F3C29">
      <w:pPr>
        <w:pStyle w:val="BodyText"/>
      </w:pPr>
      <w:r>
        <w:t xml:space="preserve">DL pre-emption may be decided </w:t>
      </w:r>
      <w:r w:rsidR="00023885">
        <w:t xml:space="preserve">by the scheduler when ongoing transmissions needs to be interrupted in favour for other more important transmissions. For example, an ongoing eMBB transmission may be partly punctured due to a URLLC transmission. </w:t>
      </w:r>
      <w:r w:rsidR="001C452D">
        <w:t xml:space="preserve">Clearly, puncturing may happen for the </w:t>
      </w:r>
      <w:r w:rsidR="00877A3A">
        <w:t xml:space="preserve">initial </w:t>
      </w:r>
      <w:r w:rsidR="008F3C29">
        <w:t xml:space="preserve">transmission as well as </w:t>
      </w:r>
      <w:r w:rsidR="00877A3A">
        <w:t xml:space="preserve">for </w:t>
      </w:r>
      <w:r w:rsidR="008F3C29">
        <w:t xml:space="preserve">re-transmissions to the eMBB UE. </w:t>
      </w:r>
      <w:r w:rsidR="00F070E8">
        <w:t>For example</w:t>
      </w:r>
      <w:r w:rsidR="00567E10">
        <w:t>,</w:t>
      </w:r>
      <w:r w:rsidR="00F070E8">
        <w:t xml:space="preserve"> the </w:t>
      </w:r>
      <w:r w:rsidR="00877A3A">
        <w:t xml:space="preserve">initial </w:t>
      </w:r>
      <w:r w:rsidR="00F070E8">
        <w:t>transmission to the eMBB UE may not be pre-empted while the re-transmission may be pre-empted. This means that only the soft values for the re-transmission soft-bits affected by the pre-emption will be corrupt</w:t>
      </w:r>
      <w:r w:rsidR="00877A3A">
        <w:t>ed</w:t>
      </w:r>
      <w:r w:rsidR="00F070E8">
        <w:t xml:space="preserve">. Hence, if the </w:t>
      </w:r>
      <w:r w:rsidR="00877A3A">
        <w:t xml:space="preserve">initial </w:t>
      </w:r>
      <w:r w:rsidR="00F070E8">
        <w:t xml:space="preserve">transmission and the re-transmission have overlapping soft-bits affected by pre-emption </w:t>
      </w:r>
      <w:r w:rsidR="00567E10">
        <w:t>it is desirable to flush only the soft value</w:t>
      </w:r>
      <w:r w:rsidR="00F070E8">
        <w:t xml:space="preserve"> </w:t>
      </w:r>
      <w:r w:rsidR="00567E10">
        <w:t>contribution for the re-transmission</w:t>
      </w:r>
      <w:r w:rsidR="00877A3A">
        <w:t>.</w:t>
      </w:r>
    </w:p>
    <w:p w14:paraId="2DE19D21" w14:textId="039DFB49" w:rsidR="00AB2BB1" w:rsidRPr="001E39A4" w:rsidRDefault="00F070E8" w:rsidP="00C136EB">
      <w:pPr>
        <w:pStyle w:val="Observation"/>
        <w:numPr>
          <w:ilvl w:val="0"/>
          <w:numId w:val="30"/>
        </w:numPr>
        <w:overflowPunct/>
        <w:autoSpaceDE/>
        <w:autoSpaceDN/>
        <w:adjustRightInd/>
        <w:spacing w:after="160" w:line="256" w:lineRule="auto"/>
        <w:jc w:val="left"/>
        <w:textAlignment w:val="auto"/>
        <w:rPr>
          <w:rFonts w:cs="Arial"/>
          <w:lang w:val="en-US"/>
        </w:rPr>
      </w:pPr>
      <w:r>
        <w:rPr>
          <w:rFonts w:cs="Arial"/>
          <w:lang w:val="en-US"/>
        </w:rPr>
        <w:t>Pre-</w:t>
      </w:r>
      <w:r w:rsidRPr="00F070E8">
        <w:rPr>
          <w:rFonts w:cs="Arial"/>
          <w:lang w:val="en-US"/>
        </w:rPr>
        <w:t xml:space="preserve">emption </w:t>
      </w:r>
      <w:r w:rsidRPr="00F070E8">
        <w:rPr>
          <w:lang w:val="en-US"/>
        </w:rPr>
        <w:t xml:space="preserve">may </w:t>
      </w:r>
      <w:r w:rsidR="00567E10">
        <w:rPr>
          <w:lang w:val="en-US"/>
        </w:rPr>
        <w:t xml:space="preserve">occur in any transmission, in </w:t>
      </w:r>
      <w:r w:rsidR="00877A3A">
        <w:rPr>
          <w:lang w:val="en-US"/>
        </w:rPr>
        <w:t xml:space="preserve">initial </w:t>
      </w:r>
      <w:r w:rsidR="00567E10">
        <w:rPr>
          <w:lang w:val="en-US"/>
        </w:rPr>
        <w:t xml:space="preserve">as well as </w:t>
      </w:r>
      <w:r w:rsidR="00877A3A">
        <w:rPr>
          <w:lang w:val="en-US"/>
        </w:rPr>
        <w:t xml:space="preserve">in </w:t>
      </w:r>
      <w:r w:rsidR="00567E10">
        <w:rPr>
          <w:lang w:val="en-US"/>
        </w:rPr>
        <w:t>re-transmission</w:t>
      </w:r>
      <w:r w:rsidRPr="00F070E8">
        <w:rPr>
          <w:lang w:val="en-US"/>
        </w:rPr>
        <w:t>.</w:t>
      </w:r>
    </w:p>
    <w:p w14:paraId="304212B1" w14:textId="77777777" w:rsidR="001E39A4" w:rsidRPr="00AB2BB1" w:rsidRDefault="001E39A4" w:rsidP="001E39A4">
      <w:pPr>
        <w:pStyle w:val="BodyText"/>
        <w:rPr>
          <w:lang w:val="en-US"/>
        </w:rPr>
      </w:pPr>
    </w:p>
    <w:p w14:paraId="6501BF78" w14:textId="5067D035" w:rsidR="00857947" w:rsidRDefault="008A1052" w:rsidP="00AB2BB1">
      <w:pPr>
        <w:pStyle w:val="BodyText"/>
        <w:numPr>
          <w:ilvl w:val="0"/>
          <w:numId w:val="28"/>
        </w:numPr>
        <w:rPr>
          <w:b/>
          <w:lang w:val="en-US"/>
        </w:rPr>
      </w:pPr>
      <w:r>
        <w:rPr>
          <w:b/>
          <w:lang w:val="en-US"/>
        </w:rPr>
        <w:t xml:space="preserve">CBGFI indication should </w:t>
      </w:r>
      <w:r w:rsidR="00975C2D">
        <w:rPr>
          <w:b/>
          <w:lang w:val="en-US"/>
        </w:rPr>
        <w:t xml:space="preserve">indicate that only the soft-values for the transmission before current transmission </w:t>
      </w:r>
      <w:r w:rsidR="002E5A34">
        <w:rPr>
          <w:b/>
          <w:lang w:val="en-US"/>
        </w:rPr>
        <w:t>should be flushed</w:t>
      </w:r>
      <w:r w:rsidR="00877A3A">
        <w:rPr>
          <w:b/>
          <w:lang w:val="en-US"/>
        </w:rPr>
        <w:t>.</w:t>
      </w:r>
    </w:p>
    <w:p w14:paraId="19F57278" w14:textId="33751460" w:rsidR="00F070E8" w:rsidRPr="001C452D" w:rsidRDefault="00AB2BB1" w:rsidP="00857947">
      <w:pPr>
        <w:pStyle w:val="BodyText"/>
        <w:rPr>
          <w:lang w:val="en-US"/>
        </w:rPr>
      </w:pPr>
      <w:r>
        <w:rPr>
          <w:lang w:val="en-US"/>
        </w:rPr>
        <w:t xml:space="preserve"> </w:t>
      </w:r>
    </w:p>
    <w:p w14:paraId="49403322" w14:textId="508BF835" w:rsidR="00C136EB" w:rsidRDefault="00975C2D" w:rsidP="008B77AE">
      <w:pPr>
        <w:pStyle w:val="BodyText"/>
      </w:pPr>
      <w:r>
        <w:t xml:space="preserve">When digital beamforming is supported </w:t>
      </w:r>
      <w:r w:rsidR="00857947">
        <w:t xml:space="preserve">and </w:t>
      </w:r>
      <w:r w:rsidR="00D22B48">
        <w:t>there is excessive power</w:t>
      </w:r>
      <w:r w:rsidR="00857947">
        <w:t xml:space="preserve"> and the eMBB and URLLC user are spatially separated the eMBB transmission may not need to be pre-empted. T</w:t>
      </w:r>
      <w:r w:rsidR="00023885">
        <w:t>he scheduler may</w:t>
      </w:r>
      <w:r w:rsidR="00857947">
        <w:t xml:space="preserve"> instead</w:t>
      </w:r>
      <w:r w:rsidR="00023885">
        <w:t xml:space="preserve"> </w:t>
      </w:r>
      <w:r w:rsidR="00D22B48">
        <w:t>decide to MU-MIMO schedule the URLLC user</w:t>
      </w:r>
      <w:r w:rsidR="00857947">
        <w:t xml:space="preserve"> with the eMBB user</w:t>
      </w:r>
      <w:r w:rsidR="001C452D">
        <w:t xml:space="preserve">. </w:t>
      </w:r>
      <w:r w:rsidR="00B72ED2">
        <w:t xml:space="preserve">Furthermore, </w:t>
      </w:r>
      <w:r w:rsidR="00857947">
        <w:t>several eMBB users may be</w:t>
      </w:r>
      <w:r w:rsidR="00B72ED2">
        <w:t xml:space="preserve"> MU-MIMO scheduled </w:t>
      </w:r>
      <w:r w:rsidR="00857947">
        <w:t xml:space="preserve">when the URLLC transmission needs to be made. </w:t>
      </w:r>
      <w:r w:rsidR="001C452D">
        <w:t xml:space="preserve">The scheduler </w:t>
      </w:r>
      <w:r w:rsidR="00857947">
        <w:t>in such a scenario</w:t>
      </w:r>
      <w:r w:rsidR="001C452D">
        <w:t xml:space="preserve"> decide to pre-empt only those eMBB users with a beam that interferes</w:t>
      </w:r>
      <w:r w:rsidR="00857947">
        <w:t xml:space="preserve"> too much with the beam to the URLLC user</w:t>
      </w:r>
      <w:r w:rsidR="001C452D">
        <w:t>.</w:t>
      </w:r>
      <w:r w:rsidR="00857947">
        <w:t xml:space="preserve"> Clearly, the sub-set of the MU-MIMO scheduled eMBB users that needs to be pre-empted depends on which URLLC user that needs to be scheduled. </w:t>
      </w:r>
    </w:p>
    <w:p w14:paraId="58543B17" w14:textId="77777777" w:rsidR="001E39A4" w:rsidRDefault="001E39A4" w:rsidP="008B77AE">
      <w:pPr>
        <w:pStyle w:val="BodyText"/>
      </w:pPr>
    </w:p>
    <w:p w14:paraId="094AD954" w14:textId="2DA447DA" w:rsidR="00C136EB" w:rsidRDefault="00C136EB" w:rsidP="00C136EB">
      <w:pPr>
        <w:pStyle w:val="BodyText"/>
        <w:numPr>
          <w:ilvl w:val="0"/>
          <w:numId w:val="30"/>
        </w:numPr>
        <w:rPr>
          <w:b/>
        </w:rPr>
      </w:pPr>
      <w:r>
        <w:rPr>
          <w:b/>
        </w:rPr>
        <w:t>Only a sub-set of</w:t>
      </w:r>
      <w:r w:rsidRPr="00C136EB">
        <w:rPr>
          <w:b/>
        </w:rPr>
        <w:t xml:space="preserve"> MU-MIMO scheduled eMBB UE</w:t>
      </w:r>
      <w:r>
        <w:rPr>
          <w:b/>
        </w:rPr>
        <w:t>s</w:t>
      </w:r>
      <w:r w:rsidRPr="00C136EB">
        <w:rPr>
          <w:b/>
        </w:rPr>
        <w:t xml:space="preserve"> may need to be pre-em</w:t>
      </w:r>
      <w:r>
        <w:rPr>
          <w:b/>
        </w:rPr>
        <w:t>p</w:t>
      </w:r>
      <w:r w:rsidRPr="00C136EB">
        <w:rPr>
          <w:b/>
        </w:rPr>
        <w:t xml:space="preserve">ted </w:t>
      </w:r>
    </w:p>
    <w:p w14:paraId="12655429" w14:textId="77777777" w:rsidR="001E39A4" w:rsidRDefault="001E39A4" w:rsidP="001E39A4">
      <w:pPr>
        <w:pStyle w:val="BodyText"/>
      </w:pPr>
    </w:p>
    <w:p w14:paraId="1CB1C2FB" w14:textId="0AA4D8DC" w:rsidR="00C136EB" w:rsidRDefault="001E39A4" w:rsidP="00C136EB">
      <w:pPr>
        <w:pStyle w:val="BodyText"/>
        <w:numPr>
          <w:ilvl w:val="0"/>
          <w:numId w:val="30"/>
        </w:numPr>
        <w:rPr>
          <w:b/>
        </w:rPr>
      </w:pPr>
      <w:r>
        <w:rPr>
          <w:b/>
        </w:rPr>
        <w:t xml:space="preserve">The sub-set of MU-MIMO scheduled eMBB UEs that needs to be pre-empted depends on which URLLC UE is causing the pre-emption </w:t>
      </w:r>
    </w:p>
    <w:p w14:paraId="1D7AA599" w14:textId="77777777" w:rsidR="001E39A4" w:rsidRDefault="001E39A4" w:rsidP="001E39A4">
      <w:pPr>
        <w:pStyle w:val="ListParagraph"/>
        <w:rPr>
          <w:b/>
        </w:rPr>
      </w:pPr>
    </w:p>
    <w:p w14:paraId="02B4A76B" w14:textId="10A8C8BF" w:rsidR="00953023" w:rsidRDefault="001E39A4" w:rsidP="001E39A4">
      <w:pPr>
        <w:pStyle w:val="BodyText"/>
      </w:pPr>
      <w:r>
        <w:t xml:space="preserve">If the group-specific pre-emption indication </w:t>
      </w:r>
      <w:r w:rsidR="00462630">
        <w:t xml:space="preserve">(PI) </w:t>
      </w:r>
      <w:r>
        <w:t xml:space="preserve">is used as </w:t>
      </w:r>
      <w:r w:rsidR="00953023">
        <w:t>“flush soft-values” indication, t</w:t>
      </w:r>
      <w:r>
        <w:t xml:space="preserve">hen all UEs in the group will flush soft-values when receiving </w:t>
      </w:r>
      <w:r w:rsidR="00457F7B">
        <w:t xml:space="preserve">the group-specific DCI. </w:t>
      </w:r>
      <w:r w:rsidR="00877A3A">
        <w:t xml:space="preserve">In case of </w:t>
      </w:r>
      <w:r w:rsidR="00457F7B">
        <w:t>MU-MIMO scheduling, in order to avoid un-necessary “flushin</w:t>
      </w:r>
      <w:r w:rsidR="00953023">
        <w:t>g”</w:t>
      </w:r>
      <w:r w:rsidR="00457F7B">
        <w:t xml:space="preserve"> complicated UE-groups n</w:t>
      </w:r>
      <w:r w:rsidR="00953023">
        <w:t xml:space="preserve">eed to be formed and managed. If only a single group specific </w:t>
      </w:r>
      <w:r w:rsidR="00462630">
        <w:t>identity</w:t>
      </w:r>
      <w:r w:rsidR="00953023">
        <w:t xml:space="preserve"> is supported</w:t>
      </w:r>
      <w:r w:rsidR="007B3FA1">
        <w:t xml:space="preserve">, a </w:t>
      </w:r>
      <w:r w:rsidR="00953023">
        <w:t xml:space="preserve">scheduling flexibility will be limited or un-necessary “flushing” will occur. </w:t>
      </w:r>
    </w:p>
    <w:p w14:paraId="3554868B" w14:textId="77777777" w:rsidR="00953023" w:rsidRPr="003916D2" w:rsidRDefault="00953023" w:rsidP="001E39A4">
      <w:pPr>
        <w:pStyle w:val="BodyText"/>
        <w:rPr>
          <w:b/>
        </w:rPr>
      </w:pPr>
    </w:p>
    <w:p w14:paraId="712019BB" w14:textId="70AD24C9" w:rsidR="001E39A4" w:rsidRDefault="003916D2" w:rsidP="003916D2">
      <w:pPr>
        <w:pStyle w:val="BodyText"/>
        <w:numPr>
          <w:ilvl w:val="0"/>
          <w:numId w:val="30"/>
        </w:numPr>
        <w:rPr>
          <w:b/>
        </w:rPr>
      </w:pPr>
      <w:r w:rsidRPr="003916D2">
        <w:rPr>
          <w:b/>
        </w:rPr>
        <w:t xml:space="preserve">Soft-value flush indication using group-specific pre-emption indication leads to scheduling inflexibility </w:t>
      </w:r>
      <w:r w:rsidR="00462630">
        <w:rPr>
          <w:b/>
        </w:rPr>
        <w:t>and/</w:t>
      </w:r>
      <w:r w:rsidRPr="003916D2">
        <w:rPr>
          <w:b/>
        </w:rPr>
        <w:t>or un-necessary flushing.</w:t>
      </w:r>
    </w:p>
    <w:p w14:paraId="1B37D997" w14:textId="1F819CB6" w:rsidR="003916D2" w:rsidRDefault="003916D2" w:rsidP="003916D2">
      <w:pPr>
        <w:pStyle w:val="BodyText"/>
        <w:rPr>
          <w:b/>
        </w:rPr>
      </w:pPr>
    </w:p>
    <w:p w14:paraId="00CC223B" w14:textId="021F9242" w:rsidR="00B803E0" w:rsidRDefault="00260304" w:rsidP="003916D2">
      <w:pPr>
        <w:pStyle w:val="BodyText"/>
      </w:pPr>
      <w:r>
        <w:t xml:space="preserve">In a scenario where eMBB users are MU-MIMO scheduled and where a subset of the eMBB users are pre-empted it would be desired to efficiently indicate where </w:t>
      </w:r>
      <w:r w:rsidR="007B3FA1">
        <w:t xml:space="preserve">the </w:t>
      </w:r>
      <w:r>
        <w:t xml:space="preserve">pre-emption occurred and which eMBB users are suffered. The CBGFI can accomplish this task to some extent since it indicates (UE-specifically) to each UE the CBGs that has “special” soft-buffer handling. The limitation may however be that flexible indication of where pre-emption occurred require </w:t>
      </w:r>
      <w:r w:rsidR="0001731A">
        <w:t>several bits which causes increased overhead. M</w:t>
      </w:r>
      <w:r w:rsidR="00B803E0">
        <w:t>ore efficient would</w:t>
      </w:r>
      <w:r w:rsidR="0001731A">
        <w:t xml:space="preserve"> be to use the PI as </w:t>
      </w:r>
      <w:r w:rsidR="00B803E0">
        <w:t xml:space="preserve">a </w:t>
      </w:r>
      <w:r w:rsidR="0001731A">
        <w:t xml:space="preserve">pre-warning to all eMBB UE that pre-emption </w:t>
      </w:r>
      <w:r w:rsidR="007B3FA1">
        <w:t>occurred</w:t>
      </w:r>
      <w:r w:rsidR="0001731A">
        <w:t xml:space="preserve"> and where it occurred, while CBGFI would serve as a confirm message that the eMBB indeed was affected according to the PI. Such a solution would lower the overhead but still preserve flexibility </w:t>
      </w:r>
      <w:r w:rsidR="00B803E0">
        <w:t xml:space="preserve">in indicating pre-emption region. Furthermore, as CBGFI would be the confirm that soft-value flushing is needed the UE would flush corrupted soft-values although it failed to receive the PI. </w:t>
      </w:r>
    </w:p>
    <w:p w14:paraId="50009341" w14:textId="77777777" w:rsidR="00B803E0" w:rsidRPr="00BF6566" w:rsidRDefault="00B803E0" w:rsidP="003916D2">
      <w:pPr>
        <w:pStyle w:val="BodyText"/>
        <w:rPr>
          <w:b/>
        </w:rPr>
      </w:pPr>
    </w:p>
    <w:p w14:paraId="4A65BBD9" w14:textId="24BF5538" w:rsidR="003916D2" w:rsidRDefault="00B803E0" w:rsidP="00B803E0">
      <w:pPr>
        <w:pStyle w:val="BodyText"/>
        <w:numPr>
          <w:ilvl w:val="0"/>
          <w:numId w:val="30"/>
        </w:numPr>
        <w:rPr>
          <w:b/>
        </w:rPr>
      </w:pPr>
      <w:r w:rsidRPr="00BF6566">
        <w:rPr>
          <w:b/>
        </w:rPr>
        <w:lastRenderedPageBreak/>
        <w:t xml:space="preserve">Using PI as group-specific pre-emption pre-warning and </w:t>
      </w:r>
      <w:r w:rsidR="00BF6566">
        <w:rPr>
          <w:b/>
        </w:rPr>
        <w:t xml:space="preserve">using </w:t>
      </w:r>
      <w:r w:rsidRPr="00BF6566">
        <w:rPr>
          <w:b/>
        </w:rPr>
        <w:t xml:space="preserve">CBGFI as UE-specific pre-emption confirm may yield low overhead and keep </w:t>
      </w:r>
      <w:r w:rsidR="00BF6566" w:rsidRPr="00BF6566">
        <w:rPr>
          <w:b/>
        </w:rPr>
        <w:t xml:space="preserve">scheduling </w:t>
      </w:r>
      <w:r w:rsidRPr="00BF6566">
        <w:rPr>
          <w:b/>
        </w:rPr>
        <w:t xml:space="preserve">flexibility </w:t>
      </w:r>
    </w:p>
    <w:p w14:paraId="5B350B7A" w14:textId="470E3656" w:rsidR="00BF6566" w:rsidRDefault="00BF6566" w:rsidP="00BF6566">
      <w:pPr>
        <w:pStyle w:val="BodyText"/>
        <w:ind w:left="360"/>
        <w:rPr>
          <w:b/>
        </w:rPr>
      </w:pPr>
    </w:p>
    <w:p w14:paraId="19D4CE31" w14:textId="6658B338" w:rsidR="001C452D" w:rsidRPr="00BF6566" w:rsidRDefault="00BF6566" w:rsidP="008B77AE">
      <w:pPr>
        <w:pStyle w:val="BodyText"/>
        <w:numPr>
          <w:ilvl w:val="0"/>
          <w:numId w:val="28"/>
        </w:numPr>
        <w:rPr>
          <w:b/>
        </w:rPr>
      </w:pPr>
      <w:r>
        <w:rPr>
          <w:b/>
        </w:rPr>
        <w:t xml:space="preserve"> Consider using PI and CBGFI</w:t>
      </w:r>
      <w:r w:rsidR="00B721CB">
        <w:rPr>
          <w:b/>
        </w:rPr>
        <w:t xml:space="preserve"> together in</w:t>
      </w:r>
      <w:r>
        <w:rPr>
          <w:b/>
        </w:rPr>
        <w:t xml:space="preserve"> pre-emption indication and </w:t>
      </w:r>
      <w:r w:rsidR="00B721CB">
        <w:rPr>
          <w:b/>
        </w:rPr>
        <w:t xml:space="preserve">indicating </w:t>
      </w:r>
      <w:r>
        <w:rPr>
          <w:b/>
        </w:rPr>
        <w:t xml:space="preserve">soft-buffer handling </w:t>
      </w:r>
    </w:p>
    <w:p w14:paraId="75FBFFD7" w14:textId="09771B82" w:rsidR="00023885" w:rsidRPr="00CE0424" w:rsidRDefault="001C452D" w:rsidP="008B77AE">
      <w:pPr>
        <w:pStyle w:val="BodyText"/>
      </w:pPr>
      <w:r>
        <w:t xml:space="preserve"> </w:t>
      </w:r>
      <w:r w:rsidR="00B72ED2">
        <w:t xml:space="preserve">  </w:t>
      </w:r>
      <w:r w:rsidR="00D22B48">
        <w:t xml:space="preserve">  </w:t>
      </w:r>
      <w:r w:rsidR="00D677FC">
        <w:t xml:space="preserve"> </w:t>
      </w:r>
      <w:r w:rsidR="008B77AE">
        <w:t xml:space="preserve">   </w:t>
      </w:r>
    </w:p>
    <w:p w14:paraId="2C1B6BD4" w14:textId="269BBAED" w:rsidR="00C01F33" w:rsidRDefault="00C01F33" w:rsidP="00CE0424">
      <w:pPr>
        <w:pStyle w:val="Heading1"/>
      </w:pPr>
      <w:r w:rsidRPr="00CE0424">
        <w:t>Conclusion</w:t>
      </w:r>
    </w:p>
    <w:p w14:paraId="39466C1F" w14:textId="77777777" w:rsidR="00B721CB" w:rsidRDefault="00BF6566" w:rsidP="00BF6566">
      <w:r>
        <w:t xml:space="preserve">This paper has considered some aspects on </w:t>
      </w:r>
      <w:r w:rsidR="00B721CB">
        <w:t>soft-buffer handling with respect to</w:t>
      </w:r>
      <w:r>
        <w:t xml:space="preserve"> DL pre-emption</w:t>
      </w:r>
      <w:r w:rsidR="00B721CB">
        <w:t xml:space="preserve">. It can be summarized as follows. </w:t>
      </w:r>
    </w:p>
    <w:p w14:paraId="4B9C85C9" w14:textId="77777777" w:rsidR="00B721CB" w:rsidRPr="00F070E8" w:rsidRDefault="00B721CB" w:rsidP="00B721CB">
      <w:pPr>
        <w:pStyle w:val="BodyText"/>
      </w:pPr>
    </w:p>
    <w:p w14:paraId="0061DD9A" w14:textId="6B7D3150" w:rsidR="00B721CB" w:rsidRPr="00B721CB" w:rsidRDefault="00B721CB" w:rsidP="00B721CB">
      <w:pPr>
        <w:pStyle w:val="Observation"/>
        <w:numPr>
          <w:ilvl w:val="0"/>
          <w:numId w:val="35"/>
        </w:numPr>
        <w:overflowPunct/>
        <w:autoSpaceDE/>
        <w:autoSpaceDN/>
        <w:adjustRightInd/>
        <w:spacing w:after="160" w:line="256" w:lineRule="auto"/>
        <w:jc w:val="left"/>
        <w:textAlignment w:val="auto"/>
        <w:rPr>
          <w:rFonts w:cs="Arial"/>
          <w:lang w:val="en-US"/>
        </w:rPr>
      </w:pPr>
      <w:r>
        <w:rPr>
          <w:rFonts w:cs="Arial"/>
          <w:lang w:val="en-US"/>
        </w:rPr>
        <w:t xml:space="preserve"> Pre-</w:t>
      </w:r>
      <w:r w:rsidRPr="00F070E8">
        <w:rPr>
          <w:rFonts w:cs="Arial"/>
          <w:lang w:val="en-US"/>
        </w:rPr>
        <w:t xml:space="preserve">emption </w:t>
      </w:r>
      <w:r w:rsidRPr="00F070E8">
        <w:rPr>
          <w:lang w:val="en-US"/>
        </w:rPr>
        <w:t xml:space="preserve">may </w:t>
      </w:r>
      <w:r>
        <w:rPr>
          <w:lang w:val="en-US"/>
        </w:rPr>
        <w:t>occur in any transmission, in original as well as re-transmission</w:t>
      </w:r>
      <w:r w:rsidRPr="00F070E8">
        <w:rPr>
          <w:lang w:val="en-US"/>
        </w:rPr>
        <w:t>.</w:t>
      </w:r>
      <w:r>
        <w:rPr>
          <w:b w:val="0"/>
          <w:lang w:val="en-US"/>
        </w:rPr>
        <w:t xml:space="preserve">  </w:t>
      </w:r>
    </w:p>
    <w:p w14:paraId="1376C434" w14:textId="1AC1D8D8" w:rsidR="00B721CB" w:rsidRPr="00B721CB" w:rsidRDefault="00B721CB" w:rsidP="00B721CB">
      <w:pPr>
        <w:pStyle w:val="BodyText"/>
        <w:numPr>
          <w:ilvl w:val="0"/>
          <w:numId w:val="36"/>
        </w:numPr>
        <w:rPr>
          <w:b/>
          <w:lang w:val="en-US"/>
        </w:rPr>
      </w:pPr>
      <w:r>
        <w:rPr>
          <w:b/>
          <w:lang w:val="en-US"/>
        </w:rPr>
        <w:t xml:space="preserve">CBGFI indication should indicate that only the soft-values for the transmission before current transmission was corrupt   </w:t>
      </w:r>
    </w:p>
    <w:p w14:paraId="6ED7C565" w14:textId="35314B0E" w:rsidR="00B721CB" w:rsidRPr="00B721CB" w:rsidRDefault="00B721CB" w:rsidP="00B721CB">
      <w:pPr>
        <w:pStyle w:val="BodyText"/>
        <w:numPr>
          <w:ilvl w:val="0"/>
          <w:numId w:val="35"/>
        </w:numPr>
        <w:rPr>
          <w:b/>
        </w:rPr>
      </w:pPr>
      <w:r>
        <w:rPr>
          <w:b/>
        </w:rPr>
        <w:t>Only a sub-set of</w:t>
      </w:r>
      <w:r w:rsidRPr="00C136EB">
        <w:rPr>
          <w:b/>
        </w:rPr>
        <w:t xml:space="preserve"> MU-MIMO scheduled eMBB UE</w:t>
      </w:r>
      <w:r>
        <w:rPr>
          <w:b/>
        </w:rPr>
        <w:t>s</w:t>
      </w:r>
      <w:r w:rsidRPr="00C136EB">
        <w:rPr>
          <w:b/>
        </w:rPr>
        <w:t xml:space="preserve"> may need to be pre-em</w:t>
      </w:r>
      <w:r>
        <w:rPr>
          <w:b/>
        </w:rPr>
        <w:t>p</w:t>
      </w:r>
      <w:r w:rsidRPr="00C136EB">
        <w:rPr>
          <w:b/>
        </w:rPr>
        <w:t xml:space="preserve">ted </w:t>
      </w:r>
    </w:p>
    <w:p w14:paraId="10FF6947" w14:textId="3D6551D1" w:rsidR="00B721CB" w:rsidRPr="00B721CB" w:rsidRDefault="00B721CB" w:rsidP="00B721CB">
      <w:pPr>
        <w:pStyle w:val="BodyText"/>
        <w:numPr>
          <w:ilvl w:val="0"/>
          <w:numId w:val="35"/>
        </w:numPr>
        <w:rPr>
          <w:b/>
        </w:rPr>
      </w:pPr>
      <w:r>
        <w:rPr>
          <w:b/>
        </w:rPr>
        <w:t xml:space="preserve">The sub-set of MU-MIMO scheduled eMBB UEs that needs to be pre-empted depends on which URLLC UE is causing the pre-emption </w:t>
      </w:r>
    </w:p>
    <w:p w14:paraId="540094A7" w14:textId="1D41D4B7" w:rsidR="00B721CB" w:rsidRPr="00B721CB" w:rsidRDefault="00B721CB" w:rsidP="00B721CB">
      <w:pPr>
        <w:pStyle w:val="BodyText"/>
        <w:numPr>
          <w:ilvl w:val="0"/>
          <w:numId w:val="35"/>
        </w:numPr>
        <w:rPr>
          <w:b/>
        </w:rPr>
      </w:pPr>
      <w:r w:rsidRPr="003916D2">
        <w:rPr>
          <w:b/>
        </w:rPr>
        <w:t xml:space="preserve">Soft-value flush indication using group-specific pre-emption indication leads to scheduling inflexibility </w:t>
      </w:r>
      <w:r>
        <w:rPr>
          <w:b/>
        </w:rPr>
        <w:t>and/</w:t>
      </w:r>
      <w:r w:rsidRPr="003916D2">
        <w:rPr>
          <w:b/>
        </w:rPr>
        <w:t>or un-necessary flushing.</w:t>
      </w:r>
    </w:p>
    <w:p w14:paraId="188A8084" w14:textId="166FCBF3" w:rsidR="00B721CB" w:rsidRPr="00B721CB" w:rsidRDefault="00B721CB" w:rsidP="00B721CB">
      <w:pPr>
        <w:pStyle w:val="BodyText"/>
        <w:numPr>
          <w:ilvl w:val="0"/>
          <w:numId w:val="35"/>
        </w:numPr>
        <w:rPr>
          <w:b/>
        </w:rPr>
      </w:pPr>
      <w:r w:rsidRPr="00BF6566">
        <w:rPr>
          <w:b/>
        </w:rPr>
        <w:t xml:space="preserve">Using PI as group-specific pre-emption pre-warning and </w:t>
      </w:r>
      <w:r>
        <w:rPr>
          <w:b/>
        </w:rPr>
        <w:t xml:space="preserve">using </w:t>
      </w:r>
      <w:r w:rsidRPr="00BF6566">
        <w:rPr>
          <w:b/>
        </w:rPr>
        <w:t xml:space="preserve">CBGFI as UE-specific pre-emption confirm may yield low overhead and keep scheduling flexibility </w:t>
      </w:r>
    </w:p>
    <w:p w14:paraId="147109D1" w14:textId="3B9F7063" w:rsidR="00B721CB" w:rsidRPr="00BF6566" w:rsidRDefault="00B721CB" w:rsidP="00B721CB">
      <w:pPr>
        <w:pStyle w:val="BodyText"/>
        <w:numPr>
          <w:ilvl w:val="0"/>
          <w:numId w:val="36"/>
        </w:numPr>
        <w:rPr>
          <w:b/>
        </w:rPr>
      </w:pPr>
      <w:r>
        <w:rPr>
          <w:b/>
        </w:rPr>
        <w:t xml:space="preserve"> Consider using PI and CBGFI together in pre-emption indication and indicating soft-buffer handling </w:t>
      </w:r>
    </w:p>
    <w:p w14:paraId="70967945" w14:textId="6A3328B9" w:rsidR="00C01F33" w:rsidRPr="0011628C" w:rsidRDefault="00C01F33" w:rsidP="006E062C">
      <w:pPr>
        <w:rPr>
          <w:b/>
          <w:bCs/>
        </w:rPr>
      </w:pPr>
    </w:p>
    <w:p w14:paraId="57B73A36" w14:textId="77777777" w:rsidR="00F507D1" w:rsidRPr="00CE0424" w:rsidRDefault="00F507D1" w:rsidP="00CE0424">
      <w:pPr>
        <w:pStyle w:val="Heading1"/>
      </w:pPr>
      <w:bookmarkStart w:id="1" w:name="_In-sequence_SDU_delivery"/>
      <w:bookmarkEnd w:id="1"/>
      <w:r w:rsidRPr="00CE0424">
        <w:t>References</w:t>
      </w:r>
    </w:p>
    <w:p w14:paraId="4EAACA7C" w14:textId="4A04D9E7" w:rsidR="00FD5D7E" w:rsidRPr="00CE0424" w:rsidRDefault="00732437" w:rsidP="00732437">
      <w:pPr>
        <w:pStyle w:val="References"/>
        <w:tabs>
          <w:tab w:val="clear" w:pos="360"/>
          <w:tab w:val="left" w:pos="720"/>
        </w:tabs>
        <w:spacing w:afterLines="30" w:after="72"/>
        <w:ind w:left="791" w:hanging="431"/>
        <w:rPr>
          <w:lang w:eastAsia="zh-CN"/>
        </w:rPr>
      </w:pPr>
      <w:bookmarkStart w:id="2" w:name="_Ref174151459"/>
      <w:bookmarkStart w:id="3" w:name="_Ref189809556"/>
      <w:r>
        <w:rPr>
          <w:lang w:eastAsia="zh-CN"/>
        </w:rPr>
        <w:t>3GPP, “</w:t>
      </w:r>
      <w:r>
        <w:rPr>
          <w:szCs w:val="20"/>
          <w:lang w:eastAsia="zh-CN"/>
        </w:rPr>
        <w:t>Final Minutes</w:t>
      </w:r>
      <w:r>
        <w:rPr>
          <w:lang w:eastAsia="zh-CN"/>
        </w:rPr>
        <w:t xml:space="preserve"> report  RAN1#90 v1.0.0”, Prague, Czech Republic, 21-25 August, 2017.</w:t>
      </w:r>
    </w:p>
    <w:bookmarkEnd w:id="2"/>
    <w:bookmarkEnd w:id="3"/>
    <w:p w14:paraId="6EF5CF0A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7EDC9B" w14:textId="77777777" w:rsidR="00C407F3" w:rsidRDefault="00C407F3">
      <w:r>
        <w:separator/>
      </w:r>
    </w:p>
  </w:endnote>
  <w:endnote w:type="continuationSeparator" w:id="0">
    <w:p w14:paraId="7D499933" w14:textId="77777777" w:rsidR="00C407F3" w:rsidRDefault="00C40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9C31" w14:textId="075E2B1C" w:rsidR="00D206AB" w:rsidRDefault="00D206A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C548E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C548E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4C2D9A" w14:textId="77777777" w:rsidR="00C407F3" w:rsidRDefault="00C407F3">
      <w:r>
        <w:separator/>
      </w:r>
    </w:p>
  </w:footnote>
  <w:footnote w:type="continuationSeparator" w:id="0">
    <w:p w14:paraId="51EFE462" w14:textId="77777777" w:rsidR="00C407F3" w:rsidRDefault="00C407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48470" w14:textId="77777777" w:rsidR="00D206AB" w:rsidRDefault="00D206A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910A5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D7662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C40D6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E9475F"/>
    <w:multiLevelType w:val="hybridMultilevel"/>
    <w:tmpl w:val="2B1E9AEE"/>
    <w:lvl w:ilvl="0" w:tplc="48DA441A">
      <w:start w:val="1"/>
      <w:numFmt w:val="decimal"/>
      <w:lvlText w:val="Proposal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B45366"/>
    <w:multiLevelType w:val="hybridMultilevel"/>
    <w:tmpl w:val="9348CE7C"/>
    <w:lvl w:ilvl="0" w:tplc="445846B2">
      <w:start w:val="1"/>
      <w:numFmt w:val="decimal"/>
      <w:lvlText w:val="Observation %1"/>
      <w:lvlJc w:val="left"/>
      <w:pPr>
        <w:ind w:left="360" w:hanging="360"/>
      </w:pPr>
      <w:rPr>
        <w:rFonts w:hint="default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A74401D"/>
    <w:multiLevelType w:val="hybridMultilevel"/>
    <w:tmpl w:val="342E3A56"/>
    <w:lvl w:ilvl="0" w:tplc="C8A853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094F7B"/>
    <w:multiLevelType w:val="hybridMultilevel"/>
    <w:tmpl w:val="E6FE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6A7583"/>
    <w:multiLevelType w:val="hybridMultilevel"/>
    <w:tmpl w:val="2B1E9AEE"/>
    <w:lvl w:ilvl="0" w:tplc="48DA441A">
      <w:start w:val="1"/>
      <w:numFmt w:val="decimal"/>
      <w:lvlText w:val="Proposal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B52A26"/>
    <w:multiLevelType w:val="hybridMultilevel"/>
    <w:tmpl w:val="F9BC2E3E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2023F2E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3E5E1FD0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CC1029A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Ericsson Capital TT" w:hAnsi="Ericsson Capital TT" w:hint="default"/>
      </w:rPr>
    </w:lvl>
    <w:lvl w:ilvl="4" w:tplc="08A2AED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Ericsson Capital TT" w:hAnsi="Ericsson Capital TT" w:hint="default"/>
      </w:rPr>
    </w:lvl>
    <w:lvl w:ilvl="5" w:tplc="E1C8693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Ericsson Capital TT" w:hAnsi="Ericsson Capital TT" w:hint="default"/>
      </w:rPr>
    </w:lvl>
    <w:lvl w:ilvl="6" w:tplc="FDA434D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Ericsson Capital TT" w:hAnsi="Ericsson Capital TT" w:hint="default"/>
      </w:rPr>
    </w:lvl>
    <w:lvl w:ilvl="7" w:tplc="9BC08FB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Ericsson Capital TT" w:hAnsi="Ericsson Capital TT" w:hint="default"/>
      </w:rPr>
    </w:lvl>
    <w:lvl w:ilvl="8" w:tplc="6E04F24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Ericsson Capital TT" w:hAnsi="Ericsson Capital TT" w:hint="default"/>
      </w:rPr>
    </w:lvl>
  </w:abstractNum>
  <w:abstractNum w:abstractNumId="11" w15:restartNumberingAfterBreak="0">
    <w:nsid w:val="14343829"/>
    <w:multiLevelType w:val="hybridMultilevel"/>
    <w:tmpl w:val="93CECC7C"/>
    <w:lvl w:ilvl="0" w:tplc="445846B2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FE0E68"/>
    <w:multiLevelType w:val="hybridMultilevel"/>
    <w:tmpl w:val="9C9A6B9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1C452A21"/>
    <w:multiLevelType w:val="hybridMultilevel"/>
    <w:tmpl w:val="74E61292"/>
    <w:lvl w:ilvl="0" w:tplc="FBE06C82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52E80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9CE21488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7A354C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938FEFC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72C7CA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CAEABA6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AC4FFE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A685052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1FCD38F8"/>
    <w:multiLevelType w:val="hybridMultilevel"/>
    <w:tmpl w:val="5C045F5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F0F372">
      <w:numFmt w:val="bullet"/>
      <w:lvlText w:val=""/>
      <w:lvlJc w:val="left"/>
      <w:pPr>
        <w:ind w:left="2160" w:hanging="360"/>
      </w:pPr>
      <w:rPr>
        <w:rFonts w:ascii="Wingdings" w:eastAsia="Times New Roman" w:hAnsi="Wingdings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BCC756C"/>
    <w:multiLevelType w:val="hybridMultilevel"/>
    <w:tmpl w:val="1B782CE0"/>
    <w:lvl w:ilvl="0" w:tplc="041D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775F69"/>
    <w:multiLevelType w:val="hybridMultilevel"/>
    <w:tmpl w:val="1E1A252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692B67"/>
    <w:multiLevelType w:val="hybridMultilevel"/>
    <w:tmpl w:val="B9769AA0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3861181F"/>
    <w:multiLevelType w:val="hybridMultilevel"/>
    <w:tmpl w:val="A8ECD2F2"/>
    <w:lvl w:ilvl="0" w:tplc="445846B2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9D0A4E"/>
    <w:multiLevelType w:val="hybridMultilevel"/>
    <w:tmpl w:val="2C02AAF4"/>
    <w:lvl w:ilvl="0" w:tplc="445846B2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0E0EDA"/>
    <w:multiLevelType w:val="hybridMultilevel"/>
    <w:tmpl w:val="9348CE7C"/>
    <w:lvl w:ilvl="0" w:tplc="445846B2">
      <w:start w:val="1"/>
      <w:numFmt w:val="decimal"/>
      <w:lvlText w:val="Observation %1"/>
      <w:lvlJc w:val="left"/>
      <w:pPr>
        <w:ind w:left="360" w:hanging="360"/>
      </w:pPr>
      <w:rPr>
        <w:rFonts w:hint="default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56A72DA"/>
    <w:multiLevelType w:val="hybridMultilevel"/>
    <w:tmpl w:val="D7D0EE02"/>
    <w:lvl w:ilvl="0" w:tplc="53E267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4F8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082D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CC03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3C5B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166D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D293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1C2C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EECC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B9F5D56"/>
    <w:multiLevelType w:val="hybridMultilevel"/>
    <w:tmpl w:val="9348CE7C"/>
    <w:lvl w:ilvl="0" w:tplc="445846B2">
      <w:start w:val="1"/>
      <w:numFmt w:val="decimal"/>
      <w:lvlText w:val="Observation %1"/>
      <w:lvlJc w:val="left"/>
      <w:pPr>
        <w:ind w:left="360" w:hanging="360"/>
      </w:pPr>
      <w:rPr>
        <w:rFonts w:hint="default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F732FCF"/>
    <w:multiLevelType w:val="hybridMultilevel"/>
    <w:tmpl w:val="BE5A20F2"/>
    <w:lvl w:ilvl="0" w:tplc="2EF86082">
      <w:start w:val="1"/>
      <w:numFmt w:val="decimal"/>
      <w:lvlText w:val="Observation %1"/>
      <w:lvlJc w:val="left"/>
      <w:pPr>
        <w:ind w:left="36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6"/>
  </w:num>
  <w:num w:numId="3">
    <w:abstractNumId w:val="23"/>
  </w:num>
  <w:num w:numId="4">
    <w:abstractNumId w:val="24"/>
  </w:num>
  <w:num w:numId="5">
    <w:abstractNumId w:val="17"/>
  </w:num>
  <w:num w:numId="6">
    <w:abstractNumId w:val="25"/>
  </w:num>
  <w:num w:numId="7">
    <w:abstractNumId w:val="29"/>
  </w:num>
  <w:num w:numId="8">
    <w:abstractNumId w:val="19"/>
  </w:num>
  <w:num w:numId="9">
    <w:abstractNumId w:val="15"/>
  </w:num>
  <w:num w:numId="10">
    <w:abstractNumId w:val="3"/>
  </w:num>
  <w:num w:numId="11">
    <w:abstractNumId w:val="2"/>
  </w:num>
  <w:num w:numId="12">
    <w:abstractNumId w:val="1"/>
  </w:num>
  <w:num w:numId="13">
    <w:abstractNumId w:val="28"/>
  </w:num>
  <w:num w:numId="14">
    <w:abstractNumId w:val="0"/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0"/>
  </w:num>
  <w:num w:numId="18">
    <w:abstractNumId w:val="18"/>
  </w:num>
  <w:num w:numId="19">
    <w:abstractNumId w:val="16"/>
  </w:num>
  <w:num w:numId="20">
    <w:abstractNumId w:val="14"/>
  </w:num>
  <w:num w:numId="21">
    <w:abstractNumId w:val="31"/>
  </w:num>
  <w:num w:numId="22">
    <w:abstractNumId w:val="7"/>
  </w:num>
  <w:num w:numId="23">
    <w:abstractNumId w:val="22"/>
    <w:lvlOverride w:ilvl="0">
      <w:startOverride w:val="1"/>
    </w:lvlOverride>
  </w:num>
  <w:num w:numId="24">
    <w:abstractNumId w:val="8"/>
  </w:num>
  <w:num w:numId="25">
    <w:abstractNumId w:val="20"/>
  </w:num>
  <w:num w:numId="26">
    <w:abstractNumId w:val="12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 w:numId="29">
    <w:abstractNumId w:val="27"/>
  </w:num>
  <w:num w:numId="30">
    <w:abstractNumId w:val="6"/>
  </w:num>
  <w:num w:numId="31">
    <w:abstractNumId w:val="33"/>
  </w:num>
  <w:num w:numId="32">
    <w:abstractNumId w:val="11"/>
  </w:num>
  <w:num w:numId="33">
    <w:abstractNumId w:val="21"/>
  </w:num>
  <w:num w:numId="34">
    <w:abstractNumId w:val="32"/>
  </w:num>
  <w:num w:numId="35">
    <w:abstractNumId w:val="30"/>
  </w:num>
  <w:num w:numId="36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4FD0"/>
    <w:rsid w:val="00006446"/>
    <w:rsid w:val="00006896"/>
    <w:rsid w:val="00007CDC"/>
    <w:rsid w:val="00011B28"/>
    <w:rsid w:val="00015D15"/>
    <w:rsid w:val="0001731A"/>
    <w:rsid w:val="00023885"/>
    <w:rsid w:val="0002531D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338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2CDB"/>
    <w:rsid w:val="00113CF4"/>
    <w:rsid w:val="001153EA"/>
    <w:rsid w:val="00115643"/>
    <w:rsid w:val="0011628C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1A7"/>
    <w:rsid w:val="001526E0"/>
    <w:rsid w:val="001551B5"/>
    <w:rsid w:val="001659C1"/>
    <w:rsid w:val="00173A8E"/>
    <w:rsid w:val="00177795"/>
    <w:rsid w:val="00180263"/>
    <w:rsid w:val="00180E99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452D"/>
    <w:rsid w:val="001D51BA"/>
    <w:rsid w:val="001D6342"/>
    <w:rsid w:val="001D6D53"/>
    <w:rsid w:val="001D7228"/>
    <w:rsid w:val="001E39A4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661E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0304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356A"/>
    <w:rsid w:val="002C41E6"/>
    <w:rsid w:val="002C5BA4"/>
    <w:rsid w:val="002D071A"/>
    <w:rsid w:val="002D0A86"/>
    <w:rsid w:val="002D308C"/>
    <w:rsid w:val="002D34B2"/>
    <w:rsid w:val="002D7637"/>
    <w:rsid w:val="002E0E6C"/>
    <w:rsid w:val="002E17F2"/>
    <w:rsid w:val="002E5A34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7380"/>
    <w:rsid w:val="003602D9"/>
    <w:rsid w:val="003604CE"/>
    <w:rsid w:val="00360EFC"/>
    <w:rsid w:val="00364B46"/>
    <w:rsid w:val="00370E47"/>
    <w:rsid w:val="003742AC"/>
    <w:rsid w:val="00377CE1"/>
    <w:rsid w:val="00385BF0"/>
    <w:rsid w:val="003916D2"/>
    <w:rsid w:val="003939FF"/>
    <w:rsid w:val="00396105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1874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140E"/>
    <w:rsid w:val="0041263E"/>
    <w:rsid w:val="00413AAC"/>
    <w:rsid w:val="00414595"/>
    <w:rsid w:val="00416832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57F7B"/>
    <w:rsid w:val="00462630"/>
    <w:rsid w:val="004669E2"/>
    <w:rsid w:val="00470C31"/>
    <w:rsid w:val="004734D0"/>
    <w:rsid w:val="0047556B"/>
    <w:rsid w:val="00477768"/>
    <w:rsid w:val="00492BC5"/>
    <w:rsid w:val="004964F1"/>
    <w:rsid w:val="004A16BC"/>
    <w:rsid w:val="004A248D"/>
    <w:rsid w:val="004A2B94"/>
    <w:rsid w:val="004B7C0C"/>
    <w:rsid w:val="004C3898"/>
    <w:rsid w:val="004D36B1"/>
    <w:rsid w:val="004D4C7D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47F4D"/>
    <w:rsid w:val="00550419"/>
    <w:rsid w:val="0055252A"/>
    <w:rsid w:val="00554E19"/>
    <w:rsid w:val="005552E0"/>
    <w:rsid w:val="0056121F"/>
    <w:rsid w:val="00567E10"/>
    <w:rsid w:val="00572505"/>
    <w:rsid w:val="00574771"/>
    <w:rsid w:val="00582809"/>
    <w:rsid w:val="0058798C"/>
    <w:rsid w:val="005900FA"/>
    <w:rsid w:val="00590489"/>
    <w:rsid w:val="005935A4"/>
    <w:rsid w:val="005948C2"/>
    <w:rsid w:val="00595DCA"/>
    <w:rsid w:val="0059779B"/>
    <w:rsid w:val="0059786D"/>
    <w:rsid w:val="005A209A"/>
    <w:rsid w:val="005A662D"/>
    <w:rsid w:val="005B35D7"/>
    <w:rsid w:val="005B392A"/>
    <w:rsid w:val="005B3AA3"/>
    <w:rsid w:val="005B592F"/>
    <w:rsid w:val="005B6F83"/>
    <w:rsid w:val="005C74FB"/>
    <w:rsid w:val="005D1602"/>
    <w:rsid w:val="005E385F"/>
    <w:rsid w:val="005E5B81"/>
    <w:rsid w:val="005F2CB1"/>
    <w:rsid w:val="005F3025"/>
    <w:rsid w:val="005F618C"/>
    <w:rsid w:val="005F6A6B"/>
    <w:rsid w:val="005F70BD"/>
    <w:rsid w:val="0060283C"/>
    <w:rsid w:val="00604F14"/>
    <w:rsid w:val="00611B83"/>
    <w:rsid w:val="00613257"/>
    <w:rsid w:val="00620A71"/>
    <w:rsid w:val="00620D80"/>
    <w:rsid w:val="006212A9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563"/>
    <w:rsid w:val="00667EE7"/>
    <w:rsid w:val="00670922"/>
    <w:rsid w:val="00670BE1"/>
    <w:rsid w:val="0067218F"/>
    <w:rsid w:val="006740FE"/>
    <w:rsid w:val="006741F2"/>
    <w:rsid w:val="00674CC3"/>
    <w:rsid w:val="00675C72"/>
    <w:rsid w:val="006771F9"/>
    <w:rsid w:val="006776D7"/>
    <w:rsid w:val="0068022F"/>
    <w:rsid w:val="00681003"/>
    <w:rsid w:val="006817C9"/>
    <w:rsid w:val="00683ECE"/>
    <w:rsid w:val="00686F36"/>
    <w:rsid w:val="00695FC2"/>
    <w:rsid w:val="006962DF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5B0F"/>
    <w:rsid w:val="006C03B8"/>
    <w:rsid w:val="006C5EC9"/>
    <w:rsid w:val="006C6059"/>
    <w:rsid w:val="006C716E"/>
    <w:rsid w:val="006C7522"/>
    <w:rsid w:val="006D6E43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54B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A7A"/>
    <w:rsid w:val="00726EA6"/>
    <w:rsid w:val="00727208"/>
    <w:rsid w:val="00727680"/>
    <w:rsid w:val="00732437"/>
    <w:rsid w:val="00732461"/>
    <w:rsid w:val="007348B1"/>
    <w:rsid w:val="007362A6"/>
    <w:rsid w:val="00736D7D"/>
    <w:rsid w:val="00740E58"/>
    <w:rsid w:val="00743EA6"/>
    <w:rsid w:val="007445A0"/>
    <w:rsid w:val="0074524B"/>
    <w:rsid w:val="00747D8B"/>
    <w:rsid w:val="00751228"/>
    <w:rsid w:val="00754D1F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A06"/>
    <w:rsid w:val="007B3D2D"/>
    <w:rsid w:val="007B3FA1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53F9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57947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A3A"/>
    <w:rsid w:val="00877F18"/>
    <w:rsid w:val="00884C6F"/>
    <w:rsid w:val="00894A88"/>
    <w:rsid w:val="00895386"/>
    <w:rsid w:val="008A1052"/>
    <w:rsid w:val="008A21FF"/>
    <w:rsid w:val="008A2CE2"/>
    <w:rsid w:val="008A30AC"/>
    <w:rsid w:val="008A44B8"/>
    <w:rsid w:val="008A4D59"/>
    <w:rsid w:val="008A51A8"/>
    <w:rsid w:val="008A54C7"/>
    <w:rsid w:val="008A77D8"/>
    <w:rsid w:val="008B0483"/>
    <w:rsid w:val="008B120C"/>
    <w:rsid w:val="008B51A0"/>
    <w:rsid w:val="008B592A"/>
    <w:rsid w:val="008B77AE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3C29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023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5C2D"/>
    <w:rsid w:val="0097603D"/>
    <w:rsid w:val="00976949"/>
    <w:rsid w:val="00980477"/>
    <w:rsid w:val="00985253"/>
    <w:rsid w:val="009853B3"/>
    <w:rsid w:val="00987690"/>
    <w:rsid w:val="00990630"/>
    <w:rsid w:val="00990DE2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64E5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E5053"/>
    <w:rsid w:val="009E78AB"/>
    <w:rsid w:val="009F08F3"/>
    <w:rsid w:val="009F344F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1F64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2BB1"/>
    <w:rsid w:val="00AB4AB8"/>
    <w:rsid w:val="00AB655E"/>
    <w:rsid w:val="00AC007F"/>
    <w:rsid w:val="00AC2ECD"/>
    <w:rsid w:val="00AC3119"/>
    <w:rsid w:val="00AC49FB"/>
    <w:rsid w:val="00AC5A10"/>
    <w:rsid w:val="00AD0AA3"/>
    <w:rsid w:val="00AD300E"/>
    <w:rsid w:val="00AD3F94"/>
    <w:rsid w:val="00AD4A5A"/>
    <w:rsid w:val="00AE27AC"/>
    <w:rsid w:val="00AE2834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1E28"/>
    <w:rsid w:val="00B157F9"/>
    <w:rsid w:val="00B20256"/>
    <w:rsid w:val="00B20D09"/>
    <w:rsid w:val="00B2763F"/>
    <w:rsid w:val="00B27AAC"/>
    <w:rsid w:val="00B304F3"/>
    <w:rsid w:val="00B30929"/>
    <w:rsid w:val="00B34C69"/>
    <w:rsid w:val="00B372AA"/>
    <w:rsid w:val="00B40445"/>
    <w:rsid w:val="00B40BEF"/>
    <w:rsid w:val="00B41888"/>
    <w:rsid w:val="00B45A52"/>
    <w:rsid w:val="00B46175"/>
    <w:rsid w:val="00B6188F"/>
    <w:rsid w:val="00B664C7"/>
    <w:rsid w:val="00B721CB"/>
    <w:rsid w:val="00B72ED2"/>
    <w:rsid w:val="00B739F6"/>
    <w:rsid w:val="00B803E0"/>
    <w:rsid w:val="00B81A6C"/>
    <w:rsid w:val="00B83CA6"/>
    <w:rsid w:val="00B8476C"/>
    <w:rsid w:val="00B85DE5"/>
    <w:rsid w:val="00B90F73"/>
    <w:rsid w:val="00B93B59"/>
    <w:rsid w:val="00B9406A"/>
    <w:rsid w:val="00B97752"/>
    <w:rsid w:val="00BA2280"/>
    <w:rsid w:val="00BA2A08"/>
    <w:rsid w:val="00BA56D2"/>
    <w:rsid w:val="00BA76E0"/>
    <w:rsid w:val="00BB2A25"/>
    <w:rsid w:val="00BB51E9"/>
    <w:rsid w:val="00BC0AF5"/>
    <w:rsid w:val="00BC0FDC"/>
    <w:rsid w:val="00BC3053"/>
    <w:rsid w:val="00BC4D2E"/>
    <w:rsid w:val="00BD3C1F"/>
    <w:rsid w:val="00BD48AC"/>
    <w:rsid w:val="00BD5F1A"/>
    <w:rsid w:val="00BE1234"/>
    <w:rsid w:val="00BE2FA6"/>
    <w:rsid w:val="00BE333F"/>
    <w:rsid w:val="00BE7406"/>
    <w:rsid w:val="00BE7603"/>
    <w:rsid w:val="00BF3279"/>
    <w:rsid w:val="00BF6566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36EB"/>
    <w:rsid w:val="00C14D4B"/>
    <w:rsid w:val="00C154BB"/>
    <w:rsid w:val="00C279B5"/>
    <w:rsid w:val="00C27C45"/>
    <w:rsid w:val="00C3719D"/>
    <w:rsid w:val="00C407F3"/>
    <w:rsid w:val="00C54995"/>
    <w:rsid w:val="00C54D41"/>
    <w:rsid w:val="00C60783"/>
    <w:rsid w:val="00C64672"/>
    <w:rsid w:val="00C70697"/>
    <w:rsid w:val="00C72EF4"/>
    <w:rsid w:val="00C75059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6186"/>
    <w:rsid w:val="00CB7170"/>
    <w:rsid w:val="00CC040E"/>
    <w:rsid w:val="00CC111F"/>
    <w:rsid w:val="00CC17D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1945"/>
    <w:rsid w:val="00D13135"/>
    <w:rsid w:val="00D13E4E"/>
    <w:rsid w:val="00D206AB"/>
    <w:rsid w:val="00D22B48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677FC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95CA9"/>
    <w:rsid w:val="00DA305E"/>
    <w:rsid w:val="00DA5417"/>
    <w:rsid w:val="00DA56E8"/>
    <w:rsid w:val="00DB0A9F"/>
    <w:rsid w:val="00DB377D"/>
    <w:rsid w:val="00DC2D36"/>
    <w:rsid w:val="00DC53EF"/>
    <w:rsid w:val="00DD48F8"/>
    <w:rsid w:val="00DE5608"/>
    <w:rsid w:val="00DE58D0"/>
    <w:rsid w:val="00DE654F"/>
    <w:rsid w:val="00DF07CB"/>
    <w:rsid w:val="00DF0B6E"/>
    <w:rsid w:val="00DF15E0"/>
    <w:rsid w:val="00DF37A0"/>
    <w:rsid w:val="00DF71A0"/>
    <w:rsid w:val="00E110E7"/>
    <w:rsid w:val="00E11B20"/>
    <w:rsid w:val="00E14D9A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70F"/>
    <w:rsid w:val="00E446F1"/>
    <w:rsid w:val="00E46886"/>
    <w:rsid w:val="00E47AEF"/>
    <w:rsid w:val="00E53B75"/>
    <w:rsid w:val="00E54E3B"/>
    <w:rsid w:val="00E57565"/>
    <w:rsid w:val="00E63838"/>
    <w:rsid w:val="00E64434"/>
    <w:rsid w:val="00E660D3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48E"/>
    <w:rsid w:val="00EC5653"/>
    <w:rsid w:val="00EC71CE"/>
    <w:rsid w:val="00ED1006"/>
    <w:rsid w:val="00EF18FE"/>
    <w:rsid w:val="00EF5787"/>
    <w:rsid w:val="00EF60D0"/>
    <w:rsid w:val="00F01760"/>
    <w:rsid w:val="00F0528D"/>
    <w:rsid w:val="00F06C67"/>
    <w:rsid w:val="00F06DFD"/>
    <w:rsid w:val="00F070E8"/>
    <w:rsid w:val="00F071D1"/>
    <w:rsid w:val="00F07533"/>
    <w:rsid w:val="00F10629"/>
    <w:rsid w:val="00F14320"/>
    <w:rsid w:val="00F154BD"/>
    <w:rsid w:val="00F15FA5"/>
    <w:rsid w:val="00F209B7"/>
    <w:rsid w:val="00F2376F"/>
    <w:rsid w:val="00F243D8"/>
    <w:rsid w:val="00F30828"/>
    <w:rsid w:val="00F313D6"/>
    <w:rsid w:val="00F330D4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A71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5D7E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0CCEE"/>
  <w15:chartTrackingRefBased/>
  <w15:docId w15:val="{C6A8E958-38BC-4D19-A9AB-916DE4208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table" w:styleId="TableGrid">
    <w:name w:val="Table Grid"/>
    <w:basedOn w:val="TableNormal"/>
    <w:uiPriority w:val="99"/>
    <w:rsid w:val="006962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0E6C"/>
    <w:pPr>
      <w:ind w:left="720"/>
      <w:contextualSpacing/>
    </w:pPr>
  </w:style>
  <w:style w:type="paragraph" w:customStyle="1" w:styleId="References">
    <w:name w:val="References"/>
    <w:basedOn w:val="Normal"/>
    <w:rsid w:val="00732437"/>
    <w:pPr>
      <w:numPr>
        <w:numId w:val="23"/>
      </w:numPr>
      <w:overflowPunct/>
      <w:adjustRightInd/>
      <w:snapToGrid w:val="0"/>
      <w:spacing w:after="60"/>
      <w:textAlignment w:val="auto"/>
    </w:pPr>
    <w:rPr>
      <w:rFonts w:ascii="Times New Roman" w:eastAsia="SimSun" w:hAnsi="Times New Roman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4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01322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712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175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5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5NUHHDQN7SK2-1476151046-15390</_dlc_DocId>
    <_dlc_DocIdUrl xmlns="f166a696-7b5b-4ccd-9f0c-ffde0cceec81">
      <Url>https://ericsson.sharepoint.com/sites/star/_layouts/15/DocIdRedir.aspx?ID=5NUHHDQN7SK2-1476151046-15390</Url>
      <Description>5NUHHDQN7SK2-1476151046-15390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9EB704-17FF-4DC5-9719-BE13DB98AAD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1539B63-36FE-498E-897A-F510B9C910D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9AC6988-A222-4B1F-89F0-5598AB0FDB6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4.xml><?xml version="1.0" encoding="utf-8"?>
<ds:datastoreItem xmlns:ds="http://schemas.openxmlformats.org/officeDocument/2006/customXml" ds:itemID="{086A7625-B9A6-455D-9DA1-07CE5FBADEA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EB24C6A7-32AA-47D8-928B-B93CD1033A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81E38036-6B7A-4773-B367-5020655B0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1351</TotalTime>
  <Pages>3</Pages>
  <Words>1121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7502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TDoc; Ericsson; 3GPP</cp:keywords>
  <cp:lastModifiedBy>Ali Behravan</cp:lastModifiedBy>
  <cp:revision>17</cp:revision>
  <cp:lastPrinted>2008-01-31T16:09:00Z</cp:lastPrinted>
  <dcterms:created xsi:type="dcterms:W3CDTF">2017-11-07T09:46:00Z</dcterms:created>
  <dcterms:modified xsi:type="dcterms:W3CDTF">2018-01-12T21:59:00Z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5NUHHDQN7SK2-1-561</vt:lpwstr>
  </property>
  <property fmtid="{D5CDD505-2E9C-101B-9397-08002B2CF9AE}" pid="5" name="_dlc_DocIdItemGuid">
    <vt:lpwstr>7986ac08-80b9-4ec9-a574-9bd2036c0df1</vt:lpwstr>
  </property>
  <property fmtid="{D5CDD505-2E9C-101B-9397-08002B2CF9AE}" pid="6" name="_dlc_DocIdUrl">
    <vt:lpwstr>https://ericoll.internal.ericsson.com/sites/STAR/_layouts/DocIdRedir.aspx?ID=5NUHHDQN7SK2-1-561, 5NUHHDQN7SK2-1-561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